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宋体" w:hAnsi="宋体" w:eastAsia="宋体"/>
          <w:b w:val="0"/>
          <w:color w:val="auto"/>
          <w:szCs w:val="36"/>
          <w:highlight w:val="none"/>
          <w:lang w:val="zh-CN"/>
        </w:rPr>
      </w:pPr>
      <w:bookmarkStart w:id="0" w:name="_Toc497425135"/>
      <w:bookmarkStart w:id="1" w:name="_Toc246319935"/>
      <w:bookmarkStart w:id="2" w:name="_Toc246319020"/>
      <w:r>
        <w:rPr>
          <w:rFonts w:hint="eastAsia" w:ascii="宋体" w:hAnsi="宋体" w:eastAsia="宋体" w:cs="仿宋_GB2312"/>
          <w:snapToGrid/>
          <w:color w:val="auto"/>
          <w:sz w:val="32"/>
          <w:szCs w:val="32"/>
          <w:highlight w:val="none"/>
          <w:lang w:val="zh-CN"/>
        </w:rPr>
        <w:t>第三部分 项目技术规范和服务要求</w:t>
      </w:r>
      <w:bookmarkEnd w:id="0"/>
      <w:bookmarkEnd w:id="1"/>
      <w:bookmarkEnd w:id="2"/>
    </w:p>
    <w:p>
      <w:pPr>
        <w:pStyle w:val="5"/>
        <w:spacing w:before="0" w:line="380" w:lineRule="exact"/>
        <w:ind w:left="0" w:firstLine="422" w:firstLineChars="200"/>
        <w:rPr>
          <w:rFonts w:ascii="宋体" w:hAnsi="宋体"/>
          <w:b/>
          <w:color w:val="auto"/>
          <w:sz w:val="21"/>
          <w:szCs w:val="21"/>
          <w:highlight w:val="none"/>
        </w:rPr>
      </w:pPr>
      <w:r>
        <w:rPr>
          <w:rFonts w:hint="eastAsia" w:ascii="宋体" w:hAnsi="宋体"/>
          <w:b/>
          <w:color w:val="auto"/>
          <w:sz w:val="21"/>
          <w:szCs w:val="21"/>
          <w:highlight w:val="none"/>
        </w:rPr>
        <w:t>一、现运行消防联动报警系统情况说明及整改要求。</w:t>
      </w:r>
    </w:p>
    <w:p>
      <w:pPr>
        <w:pStyle w:val="5"/>
        <w:spacing w:before="0" w:line="380" w:lineRule="exact"/>
        <w:ind w:left="0" w:firstLine="420" w:firstLineChars="200"/>
        <w:rPr>
          <w:rFonts w:ascii="宋体" w:hAnsi="宋体"/>
          <w:color w:val="auto"/>
          <w:sz w:val="21"/>
          <w:szCs w:val="21"/>
          <w:highlight w:val="none"/>
        </w:rPr>
      </w:pPr>
      <w:r>
        <w:rPr>
          <w:rFonts w:hint="eastAsia" w:ascii="宋体" w:hAnsi="宋体"/>
          <w:color w:val="auto"/>
          <w:sz w:val="21"/>
          <w:szCs w:val="21"/>
          <w:highlight w:val="none"/>
        </w:rPr>
        <w:t xml:space="preserve">    2000年11月27日，浙江机械工业学校迁扩建工程的消防工程发包给浙江警宇消防安全工程有限公司，工程承包范围和内容：消防中心消防报警系统、室外消防水、电系统。开工日期2001年6月25日，竣工日期2001年7月30日。在全校范围内，采用的北京世宗智能有限责任公司ZN900系列JB—TG—6000－ZN975型（联运型）控制系统。</w:t>
      </w:r>
    </w:p>
    <w:p>
      <w:pPr>
        <w:pStyle w:val="5"/>
        <w:spacing w:before="0" w:line="380" w:lineRule="exact"/>
        <w:ind w:left="0" w:firstLine="420" w:firstLineChars="200"/>
        <w:rPr>
          <w:rFonts w:ascii="宋体" w:hAnsi="宋体"/>
          <w:color w:val="auto"/>
          <w:sz w:val="21"/>
          <w:szCs w:val="21"/>
          <w:highlight w:val="none"/>
        </w:rPr>
      </w:pPr>
      <w:r>
        <w:rPr>
          <w:rFonts w:hint="eastAsia" w:ascii="宋体" w:hAnsi="宋体"/>
          <w:color w:val="auto"/>
          <w:sz w:val="21"/>
          <w:szCs w:val="21"/>
          <w:highlight w:val="none"/>
        </w:rPr>
        <w:t xml:space="preserve">    1号楼食堂改造中，将1号楼1至3层报警系统改为北大青鸟消防报警系统。经2019年11月28日、11月30日专家组成员两次到校现场勘查，基本情况为：滨江校区消防系统现有消防主机两台，回路23路，探测器1173个，手报90个，消火栓按钮280，模块362个。近一个月主机报故障约350次，火警约65次，系统存在线路断路情况，主要集中在消火栓和广播模块。2019年2月18日再次现场勘查，并召开现场认证会。现提出如下意见：</w:t>
      </w:r>
    </w:p>
    <w:p>
      <w:pPr>
        <w:pStyle w:val="5"/>
        <w:spacing w:before="0" w:line="380" w:lineRule="exact"/>
        <w:ind w:left="0" w:firstLine="420" w:firstLineChars="200"/>
        <w:rPr>
          <w:rFonts w:ascii="宋体" w:hAnsi="宋体"/>
          <w:color w:val="auto"/>
          <w:sz w:val="21"/>
          <w:szCs w:val="21"/>
          <w:highlight w:val="none"/>
        </w:rPr>
      </w:pPr>
      <w:r>
        <w:rPr>
          <w:rFonts w:hint="eastAsia" w:ascii="宋体" w:hAnsi="宋体"/>
          <w:color w:val="auto"/>
          <w:sz w:val="21"/>
          <w:szCs w:val="21"/>
          <w:highlight w:val="none"/>
        </w:rPr>
        <w:t xml:space="preserve">    1、消防主机及系统存在的问题。</w:t>
      </w:r>
    </w:p>
    <w:p>
      <w:pPr>
        <w:pStyle w:val="5"/>
        <w:spacing w:before="0" w:line="380" w:lineRule="exact"/>
        <w:ind w:left="0" w:firstLine="420" w:firstLineChars="200"/>
        <w:rPr>
          <w:rFonts w:ascii="宋体" w:hAnsi="宋体"/>
          <w:color w:val="auto"/>
          <w:sz w:val="21"/>
          <w:szCs w:val="21"/>
          <w:highlight w:val="none"/>
        </w:rPr>
      </w:pPr>
      <w:r>
        <w:rPr>
          <w:rFonts w:hint="eastAsia" w:ascii="宋体" w:hAnsi="宋体"/>
          <w:color w:val="auto"/>
          <w:sz w:val="21"/>
          <w:szCs w:val="21"/>
          <w:highlight w:val="none"/>
        </w:rPr>
        <w:t>滨江校区综合楼，2号楼、3号楼、4号楼、5号楼、6号楼、7号楼、8号楼、9号楼、10号楼、11号楼等建筑，火灾自动报警系统厂家为北京世宗智能有限责任公司，已使用10余年，品牌较老，故障较多，火灾隐患较大，消防安全风险高。且非目前市场上主流产品，缺少配件，维修维护成本高。</w:t>
      </w:r>
    </w:p>
    <w:p>
      <w:pPr>
        <w:pStyle w:val="5"/>
        <w:spacing w:before="0" w:line="380" w:lineRule="exact"/>
        <w:ind w:left="0" w:firstLine="420" w:firstLineChars="200"/>
        <w:rPr>
          <w:rFonts w:ascii="宋体" w:hAnsi="宋体"/>
          <w:color w:val="auto"/>
          <w:sz w:val="21"/>
          <w:szCs w:val="21"/>
          <w:highlight w:val="none"/>
        </w:rPr>
      </w:pPr>
      <w:r>
        <w:rPr>
          <w:rFonts w:hint="eastAsia" w:ascii="宋体" w:hAnsi="宋体"/>
          <w:color w:val="auto"/>
          <w:sz w:val="21"/>
          <w:szCs w:val="21"/>
          <w:highlight w:val="none"/>
        </w:rPr>
        <w:t>建议更换为新型可靠的火灾自动报警系统，更换火灾自动报警系统主机和末端火灾探测器、手动报警按钮、消防广播、消火栓按钮、消防电话等消防设施，如有必要更换系统总线，以提高报警系统的可靠性和有效性，降低消防安全风险。</w:t>
      </w:r>
    </w:p>
    <w:p>
      <w:pPr>
        <w:pStyle w:val="5"/>
        <w:spacing w:before="0" w:line="380" w:lineRule="exact"/>
        <w:ind w:left="0" w:firstLine="420" w:firstLineChars="200"/>
        <w:rPr>
          <w:rFonts w:ascii="宋体" w:hAnsi="宋体"/>
          <w:color w:val="auto"/>
          <w:sz w:val="21"/>
          <w:szCs w:val="21"/>
          <w:highlight w:val="none"/>
        </w:rPr>
      </w:pPr>
      <w:r>
        <w:rPr>
          <w:rFonts w:hint="eastAsia" w:ascii="宋体" w:hAnsi="宋体"/>
          <w:color w:val="auto"/>
          <w:sz w:val="21"/>
          <w:szCs w:val="21"/>
          <w:highlight w:val="none"/>
        </w:rPr>
        <w:t xml:space="preserve">    2、原火灾自动报警系统无法满足国家现行消防标准规范的要求。</w:t>
      </w:r>
    </w:p>
    <w:p>
      <w:pPr>
        <w:pStyle w:val="5"/>
        <w:spacing w:before="0" w:line="380" w:lineRule="exact"/>
        <w:ind w:left="0" w:firstLine="420" w:firstLineChars="200"/>
        <w:rPr>
          <w:rFonts w:ascii="宋体" w:hAnsi="宋体"/>
          <w:color w:val="auto"/>
          <w:sz w:val="21"/>
          <w:szCs w:val="21"/>
          <w:highlight w:val="none"/>
        </w:rPr>
      </w:pPr>
      <w:r>
        <w:rPr>
          <w:rFonts w:hint="eastAsia" w:ascii="宋体" w:hAnsi="宋体"/>
          <w:color w:val="auto"/>
          <w:sz w:val="21"/>
          <w:szCs w:val="21"/>
          <w:highlight w:val="none"/>
        </w:rPr>
        <w:t>现行消防法规对系统要求更高，目前系统与现行法规有较大差距。不符合《火灾自动报警系统设计》（GB50116-2013）的相关要求。</w:t>
      </w:r>
    </w:p>
    <w:p>
      <w:pPr>
        <w:pStyle w:val="5"/>
        <w:spacing w:before="0" w:line="380" w:lineRule="exact"/>
        <w:ind w:left="0" w:firstLine="420" w:firstLineChars="200"/>
        <w:rPr>
          <w:rFonts w:ascii="宋体" w:hAnsi="宋体"/>
          <w:color w:val="auto"/>
          <w:sz w:val="21"/>
          <w:szCs w:val="21"/>
          <w:highlight w:val="none"/>
        </w:rPr>
      </w:pPr>
      <w:r>
        <w:rPr>
          <w:rFonts w:hint="eastAsia" w:ascii="宋体" w:hAnsi="宋体"/>
          <w:color w:val="auto"/>
          <w:sz w:val="21"/>
          <w:szCs w:val="21"/>
          <w:highlight w:val="none"/>
        </w:rPr>
        <w:t>建议更换为新型可靠的火灾自动报警系统后，重新进行编程，由单点联动调整为两点联动，提高报警系统的可靠性，有条件时增设短路隔离器并且每个报警联动回路预留15%的容量，方便后期改造。增设声光警报器和模块箱，避免模块安装在配电箱内造成误报和干扰，从面降低报警系统的可靠性；采用自带电话插孔的手动报警按钮并增设消防电话线。</w:t>
      </w:r>
    </w:p>
    <w:p>
      <w:pPr>
        <w:pStyle w:val="5"/>
        <w:spacing w:before="0" w:line="380" w:lineRule="exact"/>
        <w:ind w:left="0" w:firstLine="420" w:firstLineChars="200"/>
        <w:rPr>
          <w:rFonts w:ascii="宋体" w:hAnsi="宋体"/>
          <w:color w:val="auto"/>
          <w:sz w:val="21"/>
          <w:szCs w:val="21"/>
          <w:highlight w:val="none"/>
        </w:rPr>
      </w:pPr>
      <w:r>
        <w:rPr>
          <w:rFonts w:hint="eastAsia" w:ascii="宋体" w:hAnsi="宋体"/>
          <w:color w:val="auto"/>
          <w:sz w:val="21"/>
          <w:szCs w:val="21"/>
          <w:highlight w:val="none"/>
        </w:rPr>
        <w:t xml:space="preserve">    3、增加信息化管理功能。</w:t>
      </w:r>
    </w:p>
    <w:p>
      <w:pPr>
        <w:pStyle w:val="5"/>
        <w:spacing w:before="0" w:line="380" w:lineRule="exact"/>
        <w:ind w:left="0" w:firstLine="420" w:firstLineChars="200"/>
        <w:rPr>
          <w:rFonts w:ascii="宋体" w:hAnsi="宋体"/>
          <w:color w:val="auto"/>
          <w:sz w:val="21"/>
          <w:szCs w:val="21"/>
          <w:highlight w:val="none"/>
        </w:rPr>
      </w:pPr>
      <w:r>
        <w:rPr>
          <w:rFonts w:hint="eastAsia" w:ascii="宋体" w:hAnsi="宋体"/>
          <w:color w:val="auto"/>
          <w:sz w:val="21"/>
          <w:szCs w:val="21"/>
          <w:highlight w:val="none"/>
        </w:rPr>
        <w:t>有条件的在消防控制室设置液位计，显示消防水池和屋顶消防水箱的液位，并在消火栓系统的干管上设置低压压力开关或在屋顶消防水箱设置流量开关，必要时可自行连锁启动消火栓泵，以提高消防安全水平。有条件增加信息化维护保养及智慧消防等功能。</w:t>
      </w:r>
    </w:p>
    <w:p>
      <w:pPr>
        <w:pStyle w:val="5"/>
        <w:spacing w:before="0" w:line="380" w:lineRule="exact"/>
        <w:ind w:left="0" w:firstLine="420" w:firstLineChars="200"/>
        <w:rPr>
          <w:rFonts w:ascii="宋体" w:hAnsi="宋体"/>
          <w:color w:val="auto"/>
          <w:sz w:val="21"/>
          <w:szCs w:val="21"/>
          <w:highlight w:val="none"/>
        </w:rPr>
      </w:pPr>
      <w:r>
        <w:rPr>
          <w:rFonts w:hint="eastAsia" w:ascii="宋体" w:hAnsi="宋体"/>
          <w:color w:val="auto"/>
          <w:sz w:val="21"/>
          <w:szCs w:val="21"/>
          <w:highlight w:val="none"/>
        </w:rPr>
        <w:t xml:space="preserve">    4、为后续新建项目预留端口。</w:t>
      </w:r>
    </w:p>
    <w:p>
      <w:pPr>
        <w:pStyle w:val="5"/>
        <w:spacing w:before="0" w:line="380" w:lineRule="exact"/>
        <w:ind w:left="0" w:firstLine="420" w:firstLineChars="200"/>
        <w:rPr>
          <w:rFonts w:ascii="宋体" w:hAnsi="宋体"/>
          <w:color w:val="auto"/>
          <w:sz w:val="21"/>
          <w:szCs w:val="21"/>
          <w:highlight w:val="none"/>
        </w:rPr>
      </w:pPr>
      <w:r>
        <w:rPr>
          <w:rFonts w:hint="eastAsia" w:ascii="宋体" w:hAnsi="宋体"/>
          <w:color w:val="auto"/>
          <w:sz w:val="21"/>
          <w:szCs w:val="21"/>
          <w:highlight w:val="none"/>
        </w:rPr>
        <w:t>同时适当预留扩容条件，为后续新建实验楼及停车场等项目预留端口。</w:t>
      </w:r>
    </w:p>
    <w:p>
      <w:pPr>
        <w:pStyle w:val="5"/>
        <w:spacing w:before="0" w:line="380" w:lineRule="exact"/>
        <w:ind w:left="0" w:firstLine="420" w:firstLineChars="200"/>
        <w:rPr>
          <w:rFonts w:ascii="宋体" w:hAnsi="宋体"/>
          <w:color w:val="auto"/>
          <w:sz w:val="21"/>
          <w:szCs w:val="21"/>
          <w:highlight w:val="none"/>
        </w:rPr>
      </w:pPr>
    </w:p>
    <w:p>
      <w:pPr>
        <w:pStyle w:val="5"/>
        <w:spacing w:before="0" w:line="380" w:lineRule="exact"/>
        <w:ind w:left="0" w:firstLine="420" w:firstLineChars="200"/>
        <w:rPr>
          <w:rFonts w:ascii="宋体" w:hAnsi="宋体"/>
          <w:color w:val="auto"/>
          <w:sz w:val="21"/>
          <w:szCs w:val="21"/>
          <w:highlight w:val="none"/>
        </w:rPr>
      </w:pPr>
    </w:p>
    <w:p>
      <w:pPr>
        <w:pStyle w:val="5"/>
        <w:spacing w:before="0" w:line="380" w:lineRule="exact"/>
        <w:ind w:left="0" w:firstLine="422" w:firstLineChars="200"/>
        <w:rPr>
          <w:rFonts w:ascii="宋体" w:hAnsi="宋体"/>
          <w:b/>
          <w:color w:val="auto"/>
          <w:sz w:val="21"/>
          <w:szCs w:val="21"/>
          <w:highlight w:val="none"/>
        </w:rPr>
      </w:pPr>
      <w:r>
        <w:rPr>
          <w:rFonts w:hint="eastAsia" w:ascii="宋体" w:hAnsi="宋体"/>
          <w:b/>
          <w:color w:val="auto"/>
          <w:sz w:val="21"/>
          <w:szCs w:val="21"/>
          <w:highlight w:val="none"/>
        </w:rPr>
        <w:t>二、工程量清单</w:t>
      </w:r>
    </w:p>
    <w:tbl>
      <w:tblPr>
        <w:tblStyle w:val="4"/>
        <w:tblW w:w="7785" w:type="dxa"/>
        <w:tblInd w:w="95" w:type="dxa"/>
        <w:tblLayout w:type="fixed"/>
        <w:tblCellMar>
          <w:top w:w="0" w:type="dxa"/>
          <w:left w:w="108" w:type="dxa"/>
          <w:bottom w:w="0" w:type="dxa"/>
          <w:right w:w="108" w:type="dxa"/>
        </w:tblCellMar>
      </w:tblPr>
      <w:tblGrid>
        <w:gridCol w:w="904"/>
        <w:gridCol w:w="1858"/>
        <w:gridCol w:w="2746"/>
        <w:gridCol w:w="1227"/>
        <w:gridCol w:w="1050"/>
      </w:tblGrid>
      <w:tr>
        <w:tblPrEx>
          <w:tblLayout w:type="fixed"/>
          <w:tblCellMar>
            <w:top w:w="0" w:type="dxa"/>
            <w:left w:w="108" w:type="dxa"/>
            <w:bottom w:w="0" w:type="dxa"/>
            <w:right w:w="108" w:type="dxa"/>
          </w:tblCellMar>
        </w:tblPrEx>
        <w:trPr>
          <w:trHeight w:val="740" w:hRule="atLeast"/>
        </w:trPr>
        <w:tc>
          <w:tcPr>
            <w:tcW w:w="9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序号</w:t>
            </w:r>
          </w:p>
        </w:tc>
        <w:tc>
          <w:tcPr>
            <w:tcW w:w="185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项目名称</w:t>
            </w:r>
          </w:p>
        </w:tc>
        <w:tc>
          <w:tcPr>
            <w:tcW w:w="274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特征描述</w:t>
            </w:r>
          </w:p>
        </w:tc>
        <w:tc>
          <w:tcPr>
            <w:tcW w:w="122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单位</w:t>
            </w:r>
          </w:p>
        </w:tc>
        <w:tc>
          <w:tcPr>
            <w:tcW w:w="105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数量</w:t>
            </w:r>
          </w:p>
        </w:tc>
      </w:tr>
      <w:tr>
        <w:tblPrEx>
          <w:tblLayout w:type="fixed"/>
          <w:tblCellMar>
            <w:top w:w="0" w:type="dxa"/>
            <w:left w:w="108" w:type="dxa"/>
            <w:bottom w:w="0" w:type="dxa"/>
            <w:right w:w="108" w:type="dxa"/>
          </w:tblCellMar>
        </w:tblPrEx>
        <w:trPr>
          <w:trHeight w:val="6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一</w:t>
            </w:r>
          </w:p>
        </w:tc>
        <w:tc>
          <w:tcPr>
            <w:tcW w:w="6881"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火灾报警系统</w:t>
            </w:r>
          </w:p>
        </w:tc>
      </w:tr>
      <w:tr>
        <w:tblPrEx>
          <w:tblLayout w:type="fixed"/>
          <w:tblCellMar>
            <w:top w:w="0" w:type="dxa"/>
            <w:left w:w="108" w:type="dxa"/>
            <w:bottom w:w="0" w:type="dxa"/>
            <w:right w:w="108" w:type="dxa"/>
          </w:tblCellMar>
        </w:tblPrEx>
        <w:trPr>
          <w:trHeight w:val="6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185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消防报警主机（联动型）</w:t>
            </w:r>
          </w:p>
        </w:tc>
        <w:tc>
          <w:tcPr>
            <w:tcW w:w="27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消防报警主机联动型 含手动控制盘、消防电话、集中供电电源</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台</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r>
      <w:tr>
        <w:tblPrEx>
          <w:tblLayout w:type="fixed"/>
          <w:tblCellMar>
            <w:top w:w="0" w:type="dxa"/>
            <w:left w:w="108" w:type="dxa"/>
            <w:bottom w:w="0" w:type="dxa"/>
            <w:right w:w="108" w:type="dxa"/>
          </w:tblCellMar>
        </w:tblPrEx>
        <w:trPr>
          <w:trHeight w:val="6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w:t>
            </w:r>
          </w:p>
        </w:tc>
        <w:tc>
          <w:tcPr>
            <w:tcW w:w="185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CRT系统（含电脑及软件）</w:t>
            </w:r>
          </w:p>
        </w:tc>
        <w:tc>
          <w:tcPr>
            <w:tcW w:w="27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与消防报警主机配套使用图形显示装置，具体显示平面图及报警点位</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套</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r>
      <w:tr>
        <w:tblPrEx>
          <w:tblLayout w:type="fixed"/>
          <w:tblCellMar>
            <w:top w:w="0" w:type="dxa"/>
            <w:left w:w="108" w:type="dxa"/>
            <w:bottom w:w="0" w:type="dxa"/>
            <w:right w:w="108" w:type="dxa"/>
          </w:tblCellMar>
        </w:tblPrEx>
        <w:trPr>
          <w:trHeight w:val="6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w:t>
            </w:r>
          </w:p>
        </w:tc>
        <w:tc>
          <w:tcPr>
            <w:tcW w:w="185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消防报警主机双回路板</w:t>
            </w:r>
          </w:p>
        </w:tc>
        <w:tc>
          <w:tcPr>
            <w:tcW w:w="27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与消防报警主机配套使用</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块</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w:t>
            </w:r>
          </w:p>
        </w:tc>
      </w:tr>
      <w:tr>
        <w:tblPrEx>
          <w:tblLayout w:type="fixed"/>
          <w:tblCellMar>
            <w:top w:w="0" w:type="dxa"/>
            <w:left w:w="108" w:type="dxa"/>
            <w:bottom w:w="0" w:type="dxa"/>
            <w:right w:w="108" w:type="dxa"/>
          </w:tblCellMar>
        </w:tblPrEx>
        <w:trPr>
          <w:trHeight w:val="6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w:t>
            </w:r>
          </w:p>
        </w:tc>
        <w:tc>
          <w:tcPr>
            <w:tcW w:w="1858" w:type="dxa"/>
            <w:tcBorders>
              <w:top w:val="nil"/>
              <w:left w:val="nil"/>
              <w:bottom w:val="single" w:color="auto" w:sz="4" w:space="0"/>
              <w:right w:val="single" w:color="auto" w:sz="4" w:space="0"/>
            </w:tcBorders>
            <w:shd w:val="clear" w:color="000000" w:fill="FFFFFF"/>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消防报警主机多线盘</w:t>
            </w:r>
          </w:p>
        </w:tc>
        <w:tc>
          <w:tcPr>
            <w:tcW w:w="2746" w:type="dxa"/>
            <w:tcBorders>
              <w:top w:val="nil"/>
              <w:left w:val="nil"/>
              <w:bottom w:val="single" w:color="auto" w:sz="4" w:space="0"/>
              <w:right w:val="single" w:color="auto" w:sz="4" w:space="0"/>
            </w:tcBorders>
            <w:shd w:val="clear" w:color="000000" w:fill="FFFFFF"/>
            <w:noWrap/>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与消防报警主机配套使用</w:t>
            </w:r>
          </w:p>
        </w:tc>
        <w:tc>
          <w:tcPr>
            <w:tcW w:w="1227"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块</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r>
      <w:tr>
        <w:tblPrEx>
          <w:tblLayout w:type="fixed"/>
          <w:tblCellMar>
            <w:top w:w="0" w:type="dxa"/>
            <w:left w:w="108" w:type="dxa"/>
            <w:bottom w:w="0" w:type="dxa"/>
            <w:right w:w="108" w:type="dxa"/>
          </w:tblCellMar>
        </w:tblPrEx>
        <w:trPr>
          <w:trHeight w:val="6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w:t>
            </w:r>
          </w:p>
        </w:tc>
        <w:tc>
          <w:tcPr>
            <w:tcW w:w="185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消防电话主机</w:t>
            </w:r>
          </w:p>
        </w:tc>
        <w:tc>
          <w:tcPr>
            <w:tcW w:w="27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与消防报警主机配套使用</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台</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r>
      <w:tr>
        <w:tblPrEx>
          <w:tblLayout w:type="fixed"/>
          <w:tblCellMar>
            <w:top w:w="0" w:type="dxa"/>
            <w:left w:w="108" w:type="dxa"/>
            <w:bottom w:w="0" w:type="dxa"/>
            <w:right w:w="108" w:type="dxa"/>
          </w:tblCellMar>
        </w:tblPrEx>
        <w:trPr>
          <w:trHeight w:val="6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w:t>
            </w:r>
          </w:p>
        </w:tc>
        <w:tc>
          <w:tcPr>
            <w:tcW w:w="185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消防广播主机</w:t>
            </w:r>
          </w:p>
        </w:tc>
        <w:tc>
          <w:tcPr>
            <w:tcW w:w="27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与消防报警主机配套使用</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台</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r>
      <w:tr>
        <w:tblPrEx>
          <w:tblLayout w:type="fixed"/>
          <w:tblCellMar>
            <w:top w:w="0" w:type="dxa"/>
            <w:left w:w="108" w:type="dxa"/>
            <w:bottom w:w="0" w:type="dxa"/>
            <w:right w:w="108" w:type="dxa"/>
          </w:tblCellMar>
        </w:tblPrEx>
        <w:trPr>
          <w:trHeight w:val="6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7</w:t>
            </w:r>
          </w:p>
        </w:tc>
        <w:tc>
          <w:tcPr>
            <w:tcW w:w="185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消防广播功放</w:t>
            </w:r>
          </w:p>
        </w:tc>
        <w:tc>
          <w:tcPr>
            <w:tcW w:w="27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与消防报警主机配套使用</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台</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w:t>
            </w:r>
          </w:p>
        </w:tc>
      </w:tr>
      <w:tr>
        <w:tblPrEx>
          <w:tblLayout w:type="fixed"/>
          <w:tblCellMar>
            <w:top w:w="0" w:type="dxa"/>
            <w:left w:w="108" w:type="dxa"/>
            <w:bottom w:w="0" w:type="dxa"/>
            <w:right w:w="108" w:type="dxa"/>
          </w:tblCellMar>
        </w:tblPrEx>
        <w:trPr>
          <w:trHeight w:val="6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8</w:t>
            </w:r>
          </w:p>
        </w:tc>
        <w:tc>
          <w:tcPr>
            <w:tcW w:w="185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消防报警主机备电</w:t>
            </w:r>
          </w:p>
        </w:tc>
        <w:tc>
          <w:tcPr>
            <w:tcW w:w="27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与消防报警主机配套使用</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组</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w:t>
            </w:r>
          </w:p>
        </w:tc>
      </w:tr>
      <w:tr>
        <w:tblPrEx>
          <w:tblLayout w:type="fixed"/>
          <w:tblCellMar>
            <w:top w:w="0" w:type="dxa"/>
            <w:left w:w="108" w:type="dxa"/>
            <w:bottom w:w="0" w:type="dxa"/>
            <w:right w:w="108" w:type="dxa"/>
          </w:tblCellMar>
        </w:tblPrEx>
        <w:trPr>
          <w:trHeight w:val="6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9</w:t>
            </w:r>
          </w:p>
        </w:tc>
        <w:tc>
          <w:tcPr>
            <w:tcW w:w="185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感温探测器（含底座）更换</w:t>
            </w:r>
          </w:p>
        </w:tc>
        <w:tc>
          <w:tcPr>
            <w:tcW w:w="27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智能型 电子编码 指示灯360度可见 内置单片机</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只</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146</w:t>
            </w:r>
          </w:p>
        </w:tc>
      </w:tr>
      <w:tr>
        <w:tblPrEx>
          <w:tblLayout w:type="fixed"/>
          <w:tblCellMar>
            <w:top w:w="0" w:type="dxa"/>
            <w:left w:w="108" w:type="dxa"/>
            <w:bottom w:w="0" w:type="dxa"/>
            <w:right w:w="108" w:type="dxa"/>
          </w:tblCellMar>
        </w:tblPrEx>
        <w:trPr>
          <w:trHeight w:val="6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w:t>
            </w:r>
          </w:p>
        </w:tc>
        <w:tc>
          <w:tcPr>
            <w:tcW w:w="185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感烟探测器（含底座）更换</w:t>
            </w:r>
          </w:p>
        </w:tc>
        <w:tc>
          <w:tcPr>
            <w:tcW w:w="27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智能型 电子编码 指示灯361度可见 内置单片机</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只</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1050</w:t>
            </w:r>
          </w:p>
        </w:tc>
      </w:tr>
      <w:tr>
        <w:tblPrEx>
          <w:tblLayout w:type="fixed"/>
          <w:tblCellMar>
            <w:top w:w="0" w:type="dxa"/>
            <w:left w:w="108" w:type="dxa"/>
            <w:bottom w:w="0" w:type="dxa"/>
            <w:right w:w="108" w:type="dxa"/>
          </w:tblCellMar>
        </w:tblPrEx>
        <w:trPr>
          <w:trHeight w:val="6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11</w:t>
            </w:r>
          </w:p>
        </w:tc>
        <w:tc>
          <w:tcPr>
            <w:tcW w:w="185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输入模块更换</w:t>
            </w:r>
          </w:p>
        </w:tc>
        <w:tc>
          <w:tcPr>
            <w:tcW w:w="27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电子编码 可接受设备常开或常闭信号</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只</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130</w:t>
            </w:r>
          </w:p>
        </w:tc>
      </w:tr>
      <w:tr>
        <w:tblPrEx>
          <w:tblLayout w:type="fixed"/>
          <w:tblCellMar>
            <w:top w:w="0" w:type="dxa"/>
            <w:left w:w="108" w:type="dxa"/>
            <w:bottom w:w="0" w:type="dxa"/>
            <w:right w:w="108" w:type="dxa"/>
          </w:tblCellMar>
        </w:tblPrEx>
        <w:trPr>
          <w:trHeight w:val="6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12</w:t>
            </w:r>
          </w:p>
        </w:tc>
        <w:tc>
          <w:tcPr>
            <w:tcW w:w="185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输出模块更换</w:t>
            </w:r>
          </w:p>
        </w:tc>
        <w:tc>
          <w:tcPr>
            <w:tcW w:w="27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电子编码 单动作输入输出</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只</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220</w:t>
            </w:r>
          </w:p>
        </w:tc>
      </w:tr>
      <w:tr>
        <w:tblPrEx>
          <w:tblLayout w:type="fixed"/>
          <w:tblCellMar>
            <w:top w:w="0" w:type="dxa"/>
            <w:left w:w="108" w:type="dxa"/>
            <w:bottom w:w="0" w:type="dxa"/>
            <w:right w:w="108" w:type="dxa"/>
          </w:tblCellMar>
        </w:tblPrEx>
        <w:trPr>
          <w:trHeight w:val="6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13</w:t>
            </w:r>
          </w:p>
        </w:tc>
        <w:tc>
          <w:tcPr>
            <w:tcW w:w="185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声光更换</w:t>
            </w:r>
          </w:p>
        </w:tc>
        <w:tc>
          <w:tcPr>
            <w:tcW w:w="27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电子编码 启动后发出强烈的声光警号</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只</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160</w:t>
            </w:r>
          </w:p>
        </w:tc>
      </w:tr>
      <w:tr>
        <w:tblPrEx>
          <w:tblLayout w:type="fixed"/>
          <w:tblCellMar>
            <w:top w:w="0" w:type="dxa"/>
            <w:left w:w="108" w:type="dxa"/>
            <w:bottom w:w="0" w:type="dxa"/>
            <w:right w:w="108" w:type="dxa"/>
          </w:tblCellMar>
        </w:tblPrEx>
        <w:trPr>
          <w:trHeight w:val="6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14</w:t>
            </w:r>
          </w:p>
        </w:tc>
        <w:tc>
          <w:tcPr>
            <w:tcW w:w="185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多线控制模块更换</w:t>
            </w:r>
          </w:p>
        </w:tc>
        <w:tc>
          <w:tcPr>
            <w:tcW w:w="27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输入输出具备检线功能</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只</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16</w:t>
            </w:r>
          </w:p>
        </w:tc>
      </w:tr>
      <w:tr>
        <w:tblPrEx>
          <w:tblLayout w:type="fixed"/>
          <w:tblCellMar>
            <w:top w:w="0" w:type="dxa"/>
            <w:left w:w="108" w:type="dxa"/>
            <w:bottom w:w="0" w:type="dxa"/>
            <w:right w:w="108" w:type="dxa"/>
          </w:tblCellMar>
        </w:tblPrEx>
        <w:trPr>
          <w:trHeight w:val="6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15</w:t>
            </w:r>
          </w:p>
        </w:tc>
        <w:tc>
          <w:tcPr>
            <w:tcW w:w="185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层显示器更换</w:t>
            </w:r>
          </w:p>
        </w:tc>
        <w:tc>
          <w:tcPr>
            <w:tcW w:w="27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操作及报警界面全部汉字显示</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台</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w:t>
            </w:r>
          </w:p>
        </w:tc>
      </w:tr>
      <w:tr>
        <w:tblPrEx>
          <w:tblLayout w:type="fixed"/>
          <w:tblCellMar>
            <w:top w:w="0" w:type="dxa"/>
            <w:left w:w="108" w:type="dxa"/>
            <w:bottom w:w="0" w:type="dxa"/>
            <w:right w:w="108" w:type="dxa"/>
          </w:tblCellMar>
        </w:tblPrEx>
        <w:trPr>
          <w:trHeight w:val="6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16</w:t>
            </w:r>
          </w:p>
        </w:tc>
        <w:tc>
          <w:tcPr>
            <w:tcW w:w="185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消火栓按钮更换</w:t>
            </w:r>
          </w:p>
        </w:tc>
        <w:tc>
          <w:tcPr>
            <w:tcW w:w="27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电子编码 插拔式 专用钥匙复位</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只</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320</w:t>
            </w:r>
          </w:p>
        </w:tc>
      </w:tr>
      <w:tr>
        <w:tblPrEx>
          <w:tblLayout w:type="fixed"/>
          <w:tblCellMar>
            <w:top w:w="0" w:type="dxa"/>
            <w:left w:w="108" w:type="dxa"/>
            <w:bottom w:w="0" w:type="dxa"/>
            <w:right w:w="108" w:type="dxa"/>
          </w:tblCellMar>
        </w:tblPrEx>
        <w:trPr>
          <w:trHeight w:val="6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17</w:t>
            </w:r>
          </w:p>
        </w:tc>
        <w:tc>
          <w:tcPr>
            <w:tcW w:w="185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手报按钮更换</w:t>
            </w:r>
          </w:p>
        </w:tc>
        <w:tc>
          <w:tcPr>
            <w:tcW w:w="27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电子编码 插拔式 专用钥匙复位</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只</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107</w:t>
            </w:r>
          </w:p>
        </w:tc>
      </w:tr>
      <w:tr>
        <w:tblPrEx>
          <w:tblLayout w:type="fixed"/>
          <w:tblCellMar>
            <w:top w:w="0" w:type="dxa"/>
            <w:left w:w="108" w:type="dxa"/>
            <w:bottom w:w="0" w:type="dxa"/>
            <w:right w:w="108" w:type="dxa"/>
          </w:tblCellMar>
        </w:tblPrEx>
        <w:trPr>
          <w:trHeight w:val="6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18</w:t>
            </w:r>
          </w:p>
        </w:tc>
        <w:tc>
          <w:tcPr>
            <w:tcW w:w="185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消防电话分机更换</w:t>
            </w:r>
          </w:p>
        </w:tc>
        <w:tc>
          <w:tcPr>
            <w:tcW w:w="27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与消防报警主机配套使用</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部</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w:t>
            </w:r>
          </w:p>
        </w:tc>
      </w:tr>
      <w:tr>
        <w:tblPrEx>
          <w:tblLayout w:type="fixed"/>
          <w:tblCellMar>
            <w:top w:w="0" w:type="dxa"/>
            <w:left w:w="108" w:type="dxa"/>
            <w:bottom w:w="0" w:type="dxa"/>
            <w:right w:w="108" w:type="dxa"/>
          </w:tblCellMar>
        </w:tblPrEx>
        <w:trPr>
          <w:trHeight w:val="6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19</w:t>
            </w:r>
          </w:p>
        </w:tc>
        <w:tc>
          <w:tcPr>
            <w:tcW w:w="185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报警联动线路检修（更换）</w:t>
            </w:r>
          </w:p>
        </w:tc>
        <w:tc>
          <w:tcPr>
            <w:tcW w:w="27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根据现场实际情况</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回路</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22</w:t>
            </w:r>
          </w:p>
        </w:tc>
      </w:tr>
      <w:tr>
        <w:tblPrEx>
          <w:tblLayout w:type="fixed"/>
          <w:tblCellMar>
            <w:top w:w="0" w:type="dxa"/>
            <w:left w:w="108" w:type="dxa"/>
            <w:bottom w:w="0" w:type="dxa"/>
            <w:right w:w="108" w:type="dxa"/>
          </w:tblCellMar>
        </w:tblPrEx>
        <w:trPr>
          <w:trHeight w:val="6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w:t>
            </w:r>
          </w:p>
        </w:tc>
        <w:tc>
          <w:tcPr>
            <w:tcW w:w="185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电话系统线路检修（更换）</w:t>
            </w:r>
          </w:p>
        </w:tc>
        <w:tc>
          <w:tcPr>
            <w:tcW w:w="27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根据现场实际情况</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回路</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w:t>
            </w:r>
          </w:p>
        </w:tc>
      </w:tr>
      <w:tr>
        <w:tblPrEx>
          <w:tblLayout w:type="fixed"/>
          <w:tblCellMar>
            <w:top w:w="0" w:type="dxa"/>
            <w:left w:w="108" w:type="dxa"/>
            <w:bottom w:w="0" w:type="dxa"/>
            <w:right w:w="108" w:type="dxa"/>
          </w:tblCellMar>
        </w:tblPrEx>
        <w:trPr>
          <w:trHeight w:val="6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21</w:t>
            </w:r>
          </w:p>
        </w:tc>
        <w:tc>
          <w:tcPr>
            <w:tcW w:w="185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联动电源线路检修（更换）</w:t>
            </w:r>
          </w:p>
        </w:tc>
        <w:tc>
          <w:tcPr>
            <w:tcW w:w="27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根据现场实际情况</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回路</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w:t>
            </w:r>
          </w:p>
        </w:tc>
      </w:tr>
      <w:tr>
        <w:tblPrEx>
          <w:tblLayout w:type="fixed"/>
          <w:tblCellMar>
            <w:top w:w="0" w:type="dxa"/>
            <w:left w:w="108" w:type="dxa"/>
            <w:bottom w:w="0" w:type="dxa"/>
            <w:right w:w="108" w:type="dxa"/>
          </w:tblCellMar>
        </w:tblPrEx>
        <w:trPr>
          <w:trHeight w:val="6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22</w:t>
            </w:r>
          </w:p>
        </w:tc>
        <w:tc>
          <w:tcPr>
            <w:tcW w:w="185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消防广播喇叭</w:t>
            </w:r>
          </w:p>
        </w:tc>
        <w:tc>
          <w:tcPr>
            <w:tcW w:w="27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与消防报警主机配套使用</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只</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160</w:t>
            </w:r>
          </w:p>
        </w:tc>
      </w:tr>
      <w:tr>
        <w:tblPrEx>
          <w:tblLayout w:type="fixed"/>
          <w:tblCellMar>
            <w:top w:w="0" w:type="dxa"/>
            <w:left w:w="108" w:type="dxa"/>
            <w:bottom w:w="0" w:type="dxa"/>
            <w:right w:w="108" w:type="dxa"/>
          </w:tblCellMar>
        </w:tblPrEx>
        <w:trPr>
          <w:trHeight w:val="6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23</w:t>
            </w:r>
          </w:p>
        </w:tc>
        <w:tc>
          <w:tcPr>
            <w:tcW w:w="185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消防广播线路</w:t>
            </w:r>
          </w:p>
        </w:tc>
        <w:tc>
          <w:tcPr>
            <w:tcW w:w="27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与消防报警主机配套使用</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米</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w:t>
            </w:r>
          </w:p>
        </w:tc>
      </w:tr>
      <w:tr>
        <w:tblPrEx>
          <w:tblLayout w:type="fixed"/>
          <w:tblCellMar>
            <w:top w:w="0" w:type="dxa"/>
            <w:left w:w="108" w:type="dxa"/>
            <w:bottom w:w="0" w:type="dxa"/>
            <w:right w:w="108" w:type="dxa"/>
          </w:tblCellMar>
        </w:tblPrEx>
        <w:trPr>
          <w:trHeight w:val="6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24</w:t>
            </w:r>
          </w:p>
        </w:tc>
        <w:tc>
          <w:tcPr>
            <w:tcW w:w="185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控制柜检修</w:t>
            </w:r>
          </w:p>
        </w:tc>
        <w:tc>
          <w:tcPr>
            <w:tcW w:w="27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根据现场实际情况</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台</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w:t>
            </w:r>
          </w:p>
        </w:tc>
      </w:tr>
      <w:tr>
        <w:tblPrEx>
          <w:tblLayout w:type="fixed"/>
          <w:tblCellMar>
            <w:top w:w="0" w:type="dxa"/>
            <w:left w:w="108" w:type="dxa"/>
            <w:bottom w:w="0" w:type="dxa"/>
            <w:right w:w="108" w:type="dxa"/>
          </w:tblCellMar>
        </w:tblPrEx>
        <w:trPr>
          <w:trHeight w:val="6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w:t>
            </w:r>
          </w:p>
        </w:tc>
        <w:tc>
          <w:tcPr>
            <w:tcW w:w="185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应急灯更换安装</w:t>
            </w:r>
          </w:p>
        </w:tc>
        <w:tc>
          <w:tcPr>
            <w:tcW w:w="27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充电时间≦ 24h；应急亮度＞50lm；其他性能要求符合GB17945-2010规定</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套</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165</w:t>
            </w:r>
          </w:p>
        </w:tc>
      </w:tr>
      <w:tr>
        <w:tblPrEx>
          <w:tblLayout w:type="fixed"/>
          <w:tblCellMar>
            <w:top w:w="0" w:type="dxa"/>
            <w:left w:w="108" w:type="dxa"/>
            <w:bottom w:w="0" w:type="dxa"/>
            <w:right w:w="108" w:type="dxa"/>
          </w:tblCellMar>
        </w:tblPrEx>
        <w:trPr>
          <w:trHeight w:val="6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26</w:t>
            </w:r>
          </w:p>
        </w:tc>
        <w:tc>
          <w:tcPr>
            <w:tcW w:w="185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疏散指示灯更换安装</w:t>
            </w:r>
          </w:p>
        </w:tc>
        <w:tc>
          <w:tcPr>
            <w:tcW w:w="27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50cd/㎡&lt;表面亮度&lt;300cd/㎡；其他性能要求符合GB17945-2010规定</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套</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178</w:t>
            </w:r>
          </w:p>
        </w:tc>
      </w:tr>
      <w:tr>
        <w:tblPrEx>
          <w:tblLayout w:type="fixed"/>
          <w:tblCellMar>
            <w:top w:w="0" w:type="dxa"/>
            <w:left w:w="108" w:type="dxa"/>
            <w:bottom w:w="0" w:type="dxa"/>
            <w:right w:w="108" w:type="dxa"/>
          </w:tblCellMar>
        </w:tblPrEx>
        <w:trPr>
          <w:trHeight w:val="6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27</w:t>
            </w:r>
          </w:p>
        </w:tc>
        <w:tc>
          <w:tcPr>
            <w:tcW w:w="185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第三方检测</w:t>
            </w:r>
          </w:p>
        </w:tc>
        <w:tc>
          <w:tcPr>
            <w:tcW w:w="27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检测资质正式一级、ISO质量管理体系认证</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项</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r>
      <w:tr>
        <w:tblPrEx>
          <w:tblLayout w:type="fixed"/>
          <w:tblCellMar>
            <w:top w:w="0" w:type="dxa"/>
            <w:left w:w="108" w:type="dxa"/>
            <w:bottom w:w="0" w:type="dxa"/>
            <w:right w:w="108" w:type="dxa"/>
          </w:tblCellMar>
        </w:tblPrEx>
        <w:trPr>
          <w:trHeight w:val="6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28</w:t>
            </w:r>
          </w:p>
        </w:tc>
        <w:tc>
          <w:tcPr>
            <w:tcW w:w="185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自动报警系统装置调试  3000点以下</w:t>
            </w:r>
          </w:p>
        </w:tc>
        <w:tc>
          <w:tcPr>
            <w:tcW w:w="27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根据现场实际情况</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系统</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r>
      <w:tr>
        <w:tblPrEx>
          <w:tblLayout w:type="fixed"/>
          <w:tblCellMar>
            <w:top w:w="0" w:type="dxa"/>
            <w:left w:w="108" w:type="dxa"/>
            <w:bottom w:w="0" w:type="dxa"/>
            <w:right w:w="108" w:type="dxa"/>
          </w:tblCellMar>
        </w:tblPrEx>
        <w:trPr>
          <w:trHeight w:val="5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二</w:t>
            </w:r>
          </w:p>
        </w:tc>
        <w:tc>
          <w:tcPr>
            <w:tcW w:w="6881"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气体灭火系统</w:t>
            </w:r>
          </w:p>
        </w:tc>
      </w:tr>
      <w:tr>
        <w:tblPrEx>
          <w:tblLayout w:type="fixed"/>
          <w:tblCellMar>
            <w:top w:w="0" w:type="dxa"/>
            <w:left w:w="108" w:type="dxa"/>
            <w:bottom w:w="0" w:type="dxa"/>
            <w:right w:w="108" w:type="dxa"/>
          </w:tblCellMar>
        </w:tblPrEx>
        <w:trPr>
          <w:trHeight w:val="5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18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气体灭火控制器</w:t>
            </w:r>
          </w:p>
        </w:tc>
        <w:tc>
          <w:tcPr>
            <w:tcW w:w="2746"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全淹没灭火方式设计柜式灭火装置，设计工作压力2.5MPa，设计喷放时间不大于8秒。按保护区最低环境温度为20℃设计计算灭火剂用量。设计独立的气体灭火报警与联动控制系统。</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台</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r>
      <w:tr>
        <w:tblPrEx>
          <w:tblLayout w:type="fixed"/>
          <w:tblCellMar>
            <w:top w:w="0" w:type="dxa"/>
            <w:left w:w="108" w:type="dxa"/>
            <w:bottom w:w="0" w:type="dxa"/>
            <w:right w:w="108" w:type="dxa"/>
          </w:tblCellMar>
        </w:tblPrEx>
        <w:trPr>
          <w:trHeight w:val="5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w:t>
            </w:r>
          </w:p>
        </w:tc>
        <w:tc>
          <w:tcPr>
            <w:tcW w:w="18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灭火气体瓶组</w:t>
            </w:r>
          </w:p>
        </w:tc>
        <w:tc>
          <w:tcPr>
            <w:tcW w:w="27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kern w:val="0"/>
                <w:sz w:val="18"/>
                <w:szCs w:val="18"/>
                <w:highlight w:val="none"/>
              </w:rPr>
            </w:pP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套</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w:t>
            </w:r>
          </w:p>
        </w:tc>
      </w:tr>
      <w:tr>
        <w:tblPrEx>
          <w:tblLayout w:type="fixed"/>
          <w:tblCellMar>
            <w:top w:w="0" w:type="dxa"/>
            <w:left w:w="108" w:type="dxa"/>
            <w:bottom w:w="0" w:type="dxa"/>
            <w:right w:w="108" w:type="dxa"/>
          </w:tblCellMar>
        </w:tblPrEx>
        <w:trPr>
          <w:trHeight w:val="5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w:t>
            </w:r>
          </w:p>
        </w:tc>
        <w:tc>
          <w:tcPr>
            <w:tcW w:w="18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灭火气体药剂充装</w:t>
            </w:r>
          </w:p>
        </w:tc>
        <w:tc>
          <w:tcPr>
            <w:tcW w:w="27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kern w:val="0"/>
                <w:sz w:val="18"/>
                <w:szCs w:val="18"/>
                <w:highlight w:val="none"/>
              </w:rPr>
            </w:pP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公斤</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450</w:t>
            </w:r>
          </w:p>
        </w:tc>
      </w:tr>
      <w:tr>
        <w:tblPrEx>
          <w:tblLayout w:type="fixed"/>
          <w:tblCellMar>
            <w:top w:w="0" w:type="dxa"/>
            <w:left w:w="108" w:type="dxa"/>
            <w:bottom w:w="0" w:type="dxa"/>
            <w:right w:w="108" w:type="dxa"/>
          </w:tblCellMar>
        </w:tblPrEx>
        <w:trPr>
          <w:trHeight w:val="5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三</w:t>
            </w:r>
          </w:p>
        </w:tc>
        <w:tc>
          <w:tcPr>
            <w:tcW w:w="6881" w:type="dxa"/>
            <w:gridSpan w:val="4"/>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防火卷帘系统</w:t>
            </w:r>
          </w:p>
        </w:tc>
      </w:tr>
      <w:tr>
        <w:tblPrEx>
          <w:tblLayout w:type="fixed"/>
          <w:tblCellMar>
            <w:top w:w="0" w:type="dxa"/>
            <w:left w:w="108" w:type="dxa"/>
            <w:bottom w:w="0" w:type="dxa"/>
            <w:right w:w="108" w:type="dxa"/>
          </w:tblCellMar>
        </w:tblPrEx>
        <w:trPr>
          <w:trHeight w:val="5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18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防火卷帘维修</w:t>
            </w:r>
          </w:p>
        </w:tc>
        <w:tc>
          <w:tcPr>
            <w:tcW w:w="2746"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防火卷帘主要零部件应符合相应国家标准或行业标准的规定，与消防控制室联动实现总控制，并兼有手动自动启闭功能。无机纤维复合防火卷帘帘面装饰布的燃烧性能不应低于GB 8624-1997B1级（纺织物）的要求；基布的燃烧性能不应低于GB 8624-1997A级的要求。</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档</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w:t>
            </w:r>
          </w:p>
        </w:tc>
      </w:tr>
      <w:tr>
        <w:tblPrEx>
          <w:tblLayout w:type="fixed"/>
          <w:tblCellMar>
            <w:top w:w="0" w:type="dxa"/>
            <w:left w:w="108" w:type="dxa"/>
            <w:bottom w:w="0" w:type="dxa"/>
            <w:right w:w="108" w:type="dxa"/>
          </w:tblCellMar>
        </w:tblPrEx>
        <w:trPr>
          <w:trHeight w:val="5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w:t>
            </w:r>
          </w:p>
        </w:tc>
        <w:tc>
          <w:tcPr>
            <w:tcW w:w="18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防火卷帘控制箱</w:t>
            </w:r>
          </w:p>
        </w:tc>
        <w:tc>
          <w:tcPr>
            <w:tcW w:w="27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kern w:val="0"/>
                <w:sz w:val="18"/>
                <w:szCs w:val="18"/>
                <w:highlight w:val="none"/>
              </w:rPr>
            </w:pP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w:t>
            </w:r>
          </w:p>
        </w:tc>
      </w:tr>
      <w:tr>
        <w:tblPrEx>
          <w:tblLayout w:type="fixed"/>
          <w:tblCellMar>
            <w:top w:w="0" w:type="dxa"/>
            <w:left w:w="108" w:type="dxa"/>
            <w:bottom w:w="0" w:type="dxa"/>
            <w:right w:w="108" w:type="dxa"/>
          </w:tblCellMar>
        </w:tblPrEx>
        <w:trPr>
          <w:trHeight w:val="3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w:t>
            </w:r>
          </w:p>
        </w:tc>
        <w:tc>
          <w:tcPr>
            <w:tcW w:w="18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防火卷帘电机更换</w:t>
            </w:r>
          </w:p>
        </w:tc>
        <w:tc>
          <w:tcPr>
            <w:tcW w:w="27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kern w:val="0"/>
                <w:sz w:val="18"/>
                <w:szCs w:val="18"/>
                <w:highlight w:val="none"/>
              </w:rPr>
            </w:pP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台</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w:t>
            </w:r>
          </w:p>
        </w:tc>
      </w:tr>
      <w:tr>
        <w:tblPrEx>
          <w:tblLayout w:type="fixed"/>
          <w:tblCellMar>
            <w:top w:w="0" w:type="dxa"/>
            <w:left w:w="108" w:type="dxa"/>
            <w:bottom w:w="0" w:type="dxa"/>
            <w:right w:w="108" w:type="dxa"/>
          </w:tblCellMar>
        </w:tblPrEx>
        <w:trPr>
          <w:trHeight w:val="101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w:t>
            </w:r>
          </w:p>
        </w:tc>
        <w:tc>
          <w:tcPr>
            <w:tcW w:w="18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防火卷帘更换 </w:t>
            </w:r>
          </w:p>
        </w:tc>
        <w:tc>
          <w:tcPr>
            <w:tcW w:w="27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kern w:val="0"/>
                <w:sz w:val="18"/>
                <w:szCs w:val="18"/>
                <w:highlight w:val="none"/>
              </w:rPr>
            </w:pP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档</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r>
      <w:tr>
        <w:tblPrEx>
          <w:tblLayout w:type="fixed"/>
          <w:tblCellMar>
            <w:top w:w="0" w:type="dxa"/>
            <w:left w:w="108" w:type="dxa"/>
            <w:bottom w:w="0" w:type="dxa"/>
            <w:right w:w="108" w:type="dxa"/>
          </w:tblCellMar>
        </w:tblPrEx>
        <w:trPr>
          <w:trHeight w:val="3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四</w:t>
            </w:r>
          </w:p>
        </w:tc>
        <w:tc>
          <w:tcPr>
            <w:tcW w:w="6881"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排烟系统</w:t>
            </w:r>
          </w:p>
        </w:tc>
      </w:tr>
      <w:tr>
        <w:tblPrEx>
          <w:tblLayout w:type="fixed"/>
          <w:tblCellMar>
            <w:top w:w="0" w:type="dxa"/>
            <w:left w:w="108" w:type="dxa"/>
            <w:bottom w:w="0" w:type="dxa"/>
            <w:right w:w="108" w:type="dxa"/>
          </w:tblCellMar>
        </w:tblPrEx>
        <w:trPr>
          <w:trHeight w:val="3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18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排烟风机维修</w:t>
            </w:r>
          </w:p>
        </w:tc>
        <w:tc>
          <w:tcPr>
            <w:tcW w:w="2746"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不燃A级保温型复合风管安装，风管、管件、法兰、零件、支吊架制作、安装，风管、法兰、法兰加</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固框、支吊架、保护层除锈、刷油。</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台</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w:t>
            </w:r>
          </w:p>
        </w:tc>
      </w:tr>
      <w:tr>
        <w:tblPrEx>
          <w:tblLayout w:type="fixed"/>
          <w:tblCellMar>
            <w:top w:w="0" w:type="dxa"/>
            <w:left w:w="108" w:type="dxa"/>
            <w:bottom w:w="0" w:type="dxa"/>
            <w:right w:w="108" w:type="dxa"/>
          </w:tblCellMar>
        </w:tblPrEx>
        <w:trPr>
          <w:trHeight w:val="3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w:t>
            </w:r>
          </w:p>
        </w:tc>
        <w:tc>
          <w:tcPr>
            <w:tcW w:w="18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排烟风机控制箱维修</w:t>
            </w:r>
          </w:p>
        </w:tc>
        <w:tc>
          <w:tcPr>
            <w:tcW w:w="27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kern w:val="0"/>
                <w:sz w:val="18"/>
                <w:szCs w:val="18"/>
                <w:highlight w:val="none"/>
              </w:rPr>
            </w:pP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w:t>
            </w:r>
          </w:p>
        </w:tc>
      </w:tr>
      <w:tr>
        <w:tblPrEx>
          <w:tblLayout w:type="fixed"/>
          <w:tblCellMar>
            <w:top w:w="0" w:type="dxa"/>
            <w:left w:w="108" w:type="dxa"/>
            <w:bottom w:w="0" w:type="dxa"/>
            <w:right w:w="108" w:type="dxa"/>
          </w:tblCellMar>
        </w:tblPrEx>
        <w:trPr>
          <w:trHeight w:val="71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w:t>
            </w:r>
          </w:p>
        </w:tc>
        <w:tc>
          <w:tcPr>
            <w:tcW w:w="18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风管更换</w:t>
            </w:r>
          </w:p>
        </w:tc>
        <w:tc>
          <w:tcPr>
            <w:tcW w:w="27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kern w:val="0"/>
                <w:sz w:val="18"/>
                <w:szCs w:val="18"/>
                <w:highlight w:val="none"/>
              </w:rPr>
            </w:pP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平方米</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400</w:t>
            </w:r>
          </w:p>
        </w:tc>
      </w:tr>
      <w:tr>
        <w:tblPrEx>
          <w:tblLayout w:type="fixed"/>
          <w:tblCellMar>
            <w:top w:w="0" w:type="dxa"/>
            <w:left w:w="108" w:type="dxa"/>
            <w:bottom w:w="0" w:type="dxa"/>
            <w:right w:w="108" w:type="dxa"/>
          </w:tblCellMar>
        </w:tblPrEx>
        <w:trPr>
          <w:trHeight w:val="3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五</w:t>
            </w:r>
          </w:p>
        </w:tc>
        <w:tc>
          <w:tcPr>
            <w:tcW w:w="6881" w:type="dxa"/>
            <w:gridSpan w:val="4"/>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消防广播系统</w:t>
            </w:r>
          </w:p>
        </w:tc>
      </w:tr>
      <w:tr>
        <w:tblPrEx>
          <w:tblLayout w:type="fixed"/>
          <w:tblCellMar>
            <w:top w:w="0" w:type="dxa"/>
            <w:left w:w="108" w:type="dxa"/>
            <w:bottom w:w="0" w:type="dxa"/>
            <w:right w:w="108" w:type="dxa"/>
          </w:tblCellMar>
        </w:tblPrEx>
        <w:trPr>
          <w:trHeight w:val="3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18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JDG明管敷设</w:t>
            </w:r>
          </w:p>
        </w:tc>
        <w:tc>
          <w:tcPr>
            <w:tcW w:w="27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热镀锌钢导管</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米</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2500</w:t>
            </w:r>
          </w:p>
        </w:tc>
      </w:tr>
      <w:tr>
        <w:tblPrEx>
          <w:tblLayout w:type="fixed"/>
          <w:tblCellMar>
            <w:top w:w="0" w:type="dxa"/>
            <w:left w:w="108" w:type="dxa"/>
            <w:bottom w:w="0" w:type="dxa"/>
            <w:right w:w="108" w:type="dxa"/>
          </w:tblCellMar>
        </w:tblPrEx>
        <w:trPr>
          <w:trHeight w:val="3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w:t>
            </w:r>
          </w:p>
        </w:tc>
        <w:tc>
          <w:tcPr>
            <w:tcW w:w="18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4*1.5消防控制电缆</w:t>
            </w:r>
          </w:p>
        </w:tc>
        <w:tc>
          <w:tcPr>
            <w:tcW w:w="27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阻燃</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米</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2500</w:t>
            </w:r>
          </w:p>
        </w:tc>
      </w:tr>
      <w:tr>
        <w:tblPrEx>
          <w:tblLayout w:type="fixed"/>
          <w:tblCellMar>
            <w:top w:w="0" w:type="dxa"/>
            <w:left w:w="108" w:type="dxa"/>
            <w:bottom w:w="0" w:type="dxa"/>
            <w:right w:w="108" w:type="dxa"/>
          </w:tblCellMar>
        </w:tblPrEx>
        <w:trPr>
          <w:trHeight w:val="3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w:t>
            </w:r>
          </w:p>
        </w:tc>
        <w:tc>
          <w:tcPr>
            <w:tcW w:w="18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4*1.5消防广播电缆</w:t>
            </w:r>
          </w:p>
        </w:tc>
        <w:tc>
          <w:tcPr>
            <w:tcW w:w="27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阻燃</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米</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2500</w:t>
            </w:r>
          </w:p>
        </w:tc>
      </w:tr>
      <w:tr>
        <w:tblPrEx>
          <w:tblLayout w:type="fixed"/>
          <w:tblCellMar>
            <w:top w:w="0" w:type="dxa"/>
            <w:left w:w="108" w:type="dxa"/>
            <w:bottom w:w="0" w:type="dxa"/>
            <w:right w:w="108" w:type="dxa"/>
          </w:tblCellMar>
        </w:tblPrEx>
        <w:trPr>
          <w:trHeight w:val="68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w:t>
            </w:r>
          </w:p>
        </w:tc>
        <w:tc>
          <w:tcPr>
            <w:tcW w:w="18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消防广播喇叭</w:t>
            </w:r>
          </w:p>
        </w:tc>
        <w:tc>
          <w:tcPr>
            <w:tcW w:w="27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额定功率不应小于 3W，播放声压级应高于背景噪声 15dB</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90</w:t>
            </w:r>
          </w:p>
        </w:tc>
      </w:tr>
      <w:tr>
        <w:tblPrEx>
          <w:tblLayout w:type="fixed"/>
          <w:tblCellMar>
            <w:top w:w="0" w:type="dxa"/>
            <w:left w:w="108" w:type="dxa"/>
            <w:bottom w:w="0" w:type="dxa"/>
            <w:right w:w="108" w:type="dxa"/>
          </w:tblCellMar>
        </w:tblPrEx>
        <w:trPr>
          <w:trHeight w:val="3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六</w:t>
            </w:r>
          </w:p>
        </w:tc>
        <w:tc>
          <w:tcPr>
            <w:tcW w:w="6881" w:type="dxa"/>
            <w:gridSpan w:val="4"/>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消防报警总线及联动总线</w:t>
            </w:r>
          </w:p>
        </w:tc>
      </w:tr>
      <w:tr>
        <w:tblPrEx>
          <w:tblLayout w:type="fixed"/>
          <w:tblCellMar>
            <w:top w:w="0" w:type="dxa"/>
            <w:left w:w="108" w:type="dxa"/>
            <w:bottom w:w="0" w:type="dxa"/>
            <w:right w:w="108" w:type="dxa"/>
          </w:tblCellMar>
        </w:tblPrEx>
        <w:trPr>
          <w:trHeight w:val="3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18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JDG明管敷设</w:t>
            </w:r>
          </w:p>
        </w:tc>
        <w:tc>
          <w:tcPr>
            <w:tcW w:w="27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热镀锌钢导管</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米</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2500</w:t>
            </w:r>
          </w:p>
        </w:tc>
      </w:tr>
      <w:tr>
        <w:tblPrEx>
          <w:tblLayout w:type="fixed"/>
          <w:tblCellMar>
            <w:top w:w="0" w:type="dxa"/>
            <w:left w:w="108" w:type="dxa"/>
            <w:bottom w:w="0" w:type="dxa"/>
            <w:right w:w="108" w:type="dxa"/>
          </w:tblCellMar>
        </w:tblPrEx>
        <w:trPr>
          <w:trHeight w:val="3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w:t>
            </w:r>
          </w:p>
        </w:tc>
        <w:tc>
          <w:tcPr>
            <w:tcW w:w="18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4*1.5消防控制电缆</w:t>
            </w:r>
          </w:p>
        </w:tc>
        <w:tc>
          <w:tcPr>
            <w:tcW w:w="27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阻燃</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米</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3000</w:t>
            </w:r>
          </w:p>
        </w:tc>
      </w:tr>
      <w:tr>
        <w:tblPrEx>
          <w:tblLayout w:type="fixed"/>
          <w:tblCellMar>
            <w:top w:w="0" w:type="dxa"/>
            <w:left w:w="108" w:type="dxa"/>
            <w:bottom w:w="0" w:type="dxa"/>
            <w:right w:w="108" w:type="dxa"/>
          </w:tblCellMar>
        </w:tblPrEx>
        <w:trPr>
          <w:trHeight w:val="3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w:t>
            </w:r>
          </w:p>
        </w:tc>
        <w:tc>
          <w:tcPr>
            <w:tcW w:w="18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4*1.5消防广播电缆</w:t>
            </w:r>
          </w:p>
        </w:tc>
        <w:tc>
          <w:tcPr>
            <w:tcW w:w="27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阻燃</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米</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3000</w:t>
            </w:r>
          </w:p>
        </w:tc>
      </w:tr>
      <w:tr>
        <w:tblPrEx>
          <w:tblLayout w:type="fixed"/>
          <w:tblCellMar>
            <w:top w:w="0" w:type="dxa"/>
            <w:left w:w="108" w:type="dxa"/>
            <w:bottom w:w="0" w:type="dxa"/>
            <w:right w:w="108" w:type="dxa"/>
          </w:tblCellMar>
        </w:tblPrEx>
        <w:trPr>
          <w:trHeight w:val="89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w:t>
            </w:r>
          </w:p>
        </w:tc>
        <w:tc>
          <w:tcPr>
            <w:tcW w:w="18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消防声光讯响器</w:t>
            </w:r>
          </w:p>
        </w:tc>
        <w:tc>
          <w:tcPr>
            <w:tcW w:w="27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环境噪声大于 60dB 场所，播放声压级应高于背景噪声 15dB，安装高度≥1.8米</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个</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60</w:t>
            </w:r>
          </w:p>
        </w:tc>
      </w:tr>
      <w:tr>
        <w:tblPrEx>
          <w:tblLayout w:type="fixed"/>
          <w:tblCellMar>
            <w:top w:w="0" w:type="dxa"/>
            <w:left w:w="108" w:type="dxa"/>
            <w:bottom w:w="0" w:type="dxa"/>
            <w:right w:w="108" w:type="dxa"/>
          </w:tblCellMar>
        </w:tblPrEx>
        <w:trPr>
          <w:trHeight w:val="3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w:t>
            </w:r>
          </w:p>
        </w:tc>
        <w:tc>
          <w:tcPr>
            <w:tcW w:w="18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多线控制电缆</w:t>
            </w:r>
          </w:p>
        </w:tc>
        <w:tc>
          <w:tcPr>
            <w:tcW w:w="27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阻燃</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米</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3000</w:t>
            </w:r>
          </w:p>
        </w:tc>
      </w:tr>
      <w:tr>
        <w:tblPrEx>
          <w:tblLayout w:type="fixed"/>
          <w:tblCellMar>
            <w:top w:w="0" w:type="dxa"/>
            <w:left w:w="108" w:type="dxa"/>
            <w:bottom w:w="0" w:type="dxa"/>
            <w:right w:w="108" w:type="dxa"/>
          </w:tblCellMar>
        </w:tblPrEx>
        <w:trPr>
          <w:trHeight w:val="3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w:t>
            </w:r>
          </w:p>
        </w:tc>
        <w:tc>
          <w:tcPr>
            <w:tcW w:w="18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消防报警信号总线</w:t>
            </w:r>
          </w:p>
        </w:tc>
        <w:tc>
          <w:tcPr>
            <w:tcW w:w="27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阻燃</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米</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2500</w:t>
            </w:r>
          </w:p>
        </w:tc>
      </w:tr>
      <w:tr>
        <w:tblPrEx>
          <w:tblLayout w:type="fixed"/>
          <w:tblCellMar>
            <w:top w:w="0" w:type="dxa"/>
            <w:left w:w="108" w:type="dxa"/>
            <w:bottom w:w="0" w:type="dxa"/>
            <w:right w:w="108" w:type="dxa"/>
          </w:tblCellMar>
        </w:tblPrEx>
        <w:trPr>
          <w:trHeight w:val="300" w:hRule="atLeast"/>
        </w:trPr>
        <w:tc>
          <w:tcPr>
            <w:tcW w:w="904"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7</w:t>
            </w:r>
          </w:p>
        </w:tc>
        <w:tc>
          <w:tcPr>
            <w:tcW w:w="185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消防联动总线</w:t>
            </w:r>
          </w:p>
        </w:tc>
        <w:tc>
          <w:tcPr>
            <w:tcW w:w="27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阻燃</w:t>
            </w:r>
          </w:p>
        </w:tc>
        <w:tc>
          <w:tcPr>
            <w:tcW w:w="12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米</w:t>
            </w:r>
          </w:p>
        </w:tc>
        <w:tc>
          <w:tcPr>
            <w:tcW w:w="1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2500</w:t>
            </w:r>
          </w:p>
        </w:tc>
      </w:tr>
    </w:tbl>
    <w:p>
      <w:pPr>
        <w:pStyle w:val="6"/>
        <w:tabs>
          <w:tab w:val="left" w:pos="628"/>
        </w:tabs>
        <w:spacing w:line="500" w:lineRule="exact"/>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备注：</w:t>
      </w:r>
    </w:p>
    <w:p>
      <w:pPr>
        <w:pStyle w:val="6"/>
        <w:numPr>
          <w:ilvl w:val="0"/>
          <w:numId w:val="1"/>
        </w:numPr>
        <w:tabs>
          <w:tab w:val="left" w:pos="628"/>
        </w:tabs>
        <w:spacing w:line="500" w:lineRule="exact"/>
        <w:jc w:val="left"/>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以上工程量清单仅为参考清单，实际工作量由投标人须结合图纸和现场实际踏勘自行复核，在投标报价时综合考虑，投标总价包干。</w:t>
      </w:r>
    </w:p>
    <w:p>
      <w:pPr>
        <w:pStyle w:val="6"/>
        <w:tabs>
          <w:tab w:val="left" w:pos="628"/>
        </w:tabs>
        <w:spacing w:line="500" w:lineRule="exact"/>
        <w:rPr>
          <w:rFonts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2）、招标人招标文件中提供的工程量清单包括（但不限于）本工程的所有内容，投标人须按照工程量清单以及本项目技术要求自行考虑，必须保证系统的完整性，投标总价包干，投标报价即为交钥匙工程项目价格。产品的提供及相应的技术、售后服务，并需满足本招标文件及相关标准、规范的要求。涉及对提供的货物有尺寸要求的，投标人中标后须与建设单位复核确认，以满足安装的需要。</w:t>
      </w:r>
    </w:p>
    <w:p>
      <w:pPr>
        <w:rPr>
          <w:b/>
          <w:bCs/>
          <w:color w:val="auto"/>
          <w:highlight w:val="none"/>
        </w:rPr>
      </w:pPr>
      <w:r>
        <w:rPr>
          <w:rFonts w:hint="eastAsia"/>
          <w:b/>
          <w:bCs/>
          <w:color w:val="auto"/>
          <w:highlight w:val="none"/>
        </w:rPr>
        <w:t>三、更换设备注意点</w:t>
      </w:r>
    </w:p>
    <w:p>
      <w:pPr>
        <w:rPr>
          <w:color w:val="auto"/>
          <w:highlight w:val="none"/>
        </w:rPr>
      </w:pPr>
      <w:r>
        <w:rPr>
          <w:rFonts w:hint="eastAsia"/>
          <w:color w:val="auto"/>
          <w:highlight w:val="none"/>
        </w:rPr>
        <w:t>1、由于基础工作不是很好，有些点位有漏点偏差的情况，在现场勘察时应予以重视，以实际点位为准。</w:t>
      </w:r>
    </w:p>
    <w:p>
      <w:pPr>
        <w:rPr>
          <w:color w:val="auto"/>
          <w:highlight w:val="none"/>
        </w:rPr>
      </w:pPr>
      <w:r>
        <w:rPr>
          <w:rFonts w:hint="eastAsia"/>
          <w:color w:val="auto"/>
          <w:highlight w:val="none"/>
        </w:rPr>
        <w:t>2、施工要求，尽量利用原先的线路走向，要有明确的清晰的施工图和施工方案，施工计划表，施工人员进场表</w:t>
      </w:r>
    </w:p>
    <w:p>
      <w:pPr>
        <w:rPr>
          <w:color w:val="auto"/>
          <w:highlight w:val="none"/>
        </w:rPr>
      </w:pPr>
      <w:r>
        <w:rPr>
          <w:rFonts w:hint="eastAsia"/>
          <w:color w:val="auto"/>
          <w:highlight w:val="none"/>
        </w:rPr>
        <w:t>3、报警总线分室内施工和室外施工，工程量分别计算。报警总线路不仅涉及到明管敷设，还有部分存在室外地面开挖埋管，请也考虑一下。</w:t>
      </w:r>
    </w:p>
    <w:p>
      <w:pPr>
        <w:rPr>
          <w:color w:val="auto"/>
          <w:highlight w:val="none"/>
        </w:rPr>
      </w:pPr>
      <w:r>
        <w:rPr>
          <w:rFonts w:hint="eastAsia"/>
          <w:color w:val="auto"/>
          <w:highlight w:val="none"/>
        </w:rPr>
        <w:t>4、</w:t>
      </w:r>
      <w:r>
        <w:rPr>
          <w:rFonts w:hint="eastAsia" w:ascii="宋体" w:hAnsi="宋体" w:cs="宋体"/>
          <w:color w:val="auto"/>
          <w:sz w:val="24"/>
          <w:szCs w:val="24"/>
          <w:highlight w:val="none"/>
        </w:rPr>
        <w:t>★</w:t>
      </w:r>
      <w:r>
        <w:rPr>
          <w:rFonts w:hint="eastAsia"/>
          <w:color w:val="auto"/>
          <w:highlight w:val="none"/>
        </w:rPr>
        <w:t>一号楼使用的报警系统为北大青鸟，</w:t>
      </w:r>
      <w:r>
        <w:rPr>
          <w:rFonts w:hint="eastAsia"/>
          <w:color w:val="auto"/>
          <w:highlight w:val="none"/>
          <w:lang w:val="en-US" w:eastAsia="zh-CN"/>
        </w:rPr>
        <w:t>智能制造及轨道交通实训基地用的系统为松江云安，</w:t>
      </w:r>
      <w:r>
        <w:rPr>
          <w:rFonts w:hint="eastAsia"/>
          <w:color w:val="auto"/>
          <w:highlight w:val="none"/>
        </w:rPr>
        <w:t>如果使用其他品牌的主机，请考虑兼容问题。</w:t>
      </w:r>
    </w:p>
    <w:p>
      <w:pPr>
        <w:rPr>
          <w:color w:val="auto"/>
          <w:highlight w:val="none"/>
        </w:rPr>
      </w:pPr>
      <w:r>
        <w:rPr>
          <w:rFonts w:hint="eastAsia"/>
          <w:color w:val="auto"/>
          <w:highlight w:val="none"/>
        </w:rPr>
        <w:t>5、负责拆除原来的报警系统不用的东西，集中存放。</w:t>
      </w:r>
    </w:p>
    <w:p>
      <w:pPr>
        <w:rPr>
          <w:b/>
          <w:bCs/>
          <w:color w:val="auto"/>
          <w:highlight w:val="none"/>
        </w:rPr>
      </w:pPr>
      <w:r>
        <w:rPr>
          <w:rFonts w:hint="eastAsia"/>
          <w:b/>
          <w:bCs/>
          <w:color w:val="auto"/>
          <w:highlight w:val="none"/>
        </w:rPr>
        <w:t>四、现场察勘</w:t>
      </w:r>
    </w:p>
    <w:p>
      <w:pPr>
        <w:rPr>
          <w:color w:val="auto"/>
          <w:highlight w:val="none"/>
        </w:rPr>
      </w:pPr>
      <w:r>
        <w:rPr>
          <w:rFonts w:hint="eastAsia" w:hAnsi="宋体" w:cs="Arial"/>
          <w:color w:val="auto"/>
          <w:highlight w:val="none"/>
        </w:rPr>
        <w:t>1、供应商</w:t>
      </w:r>
      <w:r>
        <w:rPr>
          <w:rFonts w:hAnsi="宋体" w:cs="Arial"/>
          <w:color w:val="auto"/>
          <w:highlight w:val="none"/>
        </w:rPr>
        <w:t>应先到工地踏勘以充分了解工地位置、情况、道路、储存空间、装卸限制及任何其它足以影响</w:t>
      </w:r>
      <w:r>
        <w:rPr>
          <w:rFonts w:hint="eastAsia" w:hAnsi="宋体" w:cs="Arial"/>
          <w:color w:val="auto"/>
          <w:highlight w:val="none"/>
        </w:rPr>
        <w:t>报价</w:t>
      </w:r>
      <w:r>
        <w:rPr>
          <w:rFonts w:hAnsi="宋体" w:cs="Arial"/>
          <w:color w:val="auto"/>
          <w:highlight w:val="none"/>
        </w:rPr>
        <w:t>总价的情况，任何因忽视或误解工地情况而导致的索赔或工期延长申请将不获批准。</w:t>
      </w:r>
    </w:p>
    <w:p>
      <w:pPr>
        <w:rPr>
          <w:rFonts w:ascii="Arial" w:hAnsi="宋体" w:cs="Arial"/>
          <w:color w:val="auto"/>
          <w:highlight w:val="none"/>
        </w:rPr>
      </w:pPr>
      <w:r>
        <w:rPr>
          <w:rFonts w:hint="eastAsia" w:ascii="Arial" w:hAnsi="宋体" w:cs="Arial"/>
          <w:color w:val="auto"/>
          <w:highlight w:val="none"/>
        </w:rPr>
        <w:t>2、</w:t>
      </w:r>
      <w:r>
        <w:rPr>
          <w:rFonts w:ascii="Arial" w:hAnsi="宋体" w:cs="Arial"/>
          <w:color w:val="auto"/>
          <w:highlight w:val="none"/>
        </w:rPr>
        <w:t>采购人在踏勘现场中介绍的场地和相关的周边环境情况，</w:t>
      </w:r>
      <w:r>
        <w:rPr>
          <w:rFonts w:hint="eastAsia" w:ascii="Arial" w:hAnsi="宋体" w:cs="Arial"/>
          <w:color w:val="auto"/>
          <w:highlight w:val="none"/>
        </w:rPr>
        <w:t>仅</w:t>
      </w:r>
      <w:r>
        <w:rPr>
          <w:rFonts w:ascii="Arial" w:hAnsi="宋体" w:cs="Arial"/>
          <w:color w:val="auto"/>
          <w:highlight w:val="none"/>
        </w:rPr>
        <w:t>供供应商在编制响应文件时参考，采购人不对供应商据此作出的判断和决策负责。</w:t>
      </w:r>
    </w:p>
    <w:p>
      <w:pPr>
        <w:rPr>
          <w:color w:val="auto"/>
          <w:highlight w:val="none"/>
        </w:rPr>
      </w:pPr>
      <w:r>
        <w:rPr>
          <w:rFonts w:hint="eastAsia"/>
          <w:color w:val="auto"/>
          <w:highlight w:val="none"/>
        </w:rPr>
        <w:t>现场勘察，对不清清楚楚的情况要及时提出要求质疑。中标后视为对现场情况了解掌握无疑义，招标文件中没有写到的细节或不完善的地方，需供应商根据专业规范需求补充完善，并能按国家规范要求施工及验收，符合消防法规，产生的矛盾以国家规范标准为争议处理的依据。</w:t>
      </w:r>
    </w:p>
    <w:p>
      <w:pPr>
        <w:rPr>
          <w:b/>
          <w:bCs/>
          <w:color w:val="auto"/>
          <w:highlight w:val="none"/>
        </w:rPr>
      </w:pPr>
      <w:r>
        <w:rPr>
          <w:rFonts w:hint="eastAsia"/>
          <w:b/>
          <w:bCs/>
          <w:color w:val="auto"/>
          <w:highlight w:val="none"/>
        </w:rPr>
        <w:t>五、总承包价。</w:t>
      </w:r>
    </w:p>
    <w:p>
      <w:pPr>
        <w:rPr>
          <w:rFonts w:hint="eastAsia" w:hAnsi="宋体" w:cs="Arial"/>
          <w:color w:val="auto"/>
          <w:highlight w:val="none"/>
        </w:rPr>
      </w:pPr>
      <w:r>
        <w:rPr>
          <w:rFonts w:hint="eastAsia"/>
          <w:color w:val="auto"/>
          <w:highlight w:val="none"/>
        </w:rPr>
        <w:t>1、</w:t>
      </w:r>
      <w:r>
        <w:rPr>
          <w:rFonts w:hint="eastAsia" w:hAnsi="宋体" w:cs="Arial"/>
          <w:color w:val="auto"/>
          <w:highlight w:val="none"/>
        </w:rPr>
        <w:t>报价</w:t>
      </w:r>
      <w:r>
        <w:rPr>
          <w:rFonts w:hAnsi="宋体" w:cs="Arial"/>
          <w:color w:val="auto"/>
          <w:highlight w:val="none"/>
        </w:rPr>
        <w:t>人可结合实际情况补充措施项目，总价一次性包干</w:t>
      </w:r>
      <w:r>
        <w:rPr>
          <w:rFonts w:hint="eastAsia" w:hAnsi="宋体" w:cs="Arial"/>
          <w:color w:val="auto"/>
          <w:highlight w:val="none"/>
        </w:rPr>
        <w:t>，</w:t>
      </w:r>
      <w:r>
        <w:rPr>
          <w:rFonts w:hAnsi="宋体" w:cs="Arial"/>
          <w:color w:val="auto"/>
          <w:highlight w:val="none"/>
        </w:rPr>
        <w:t>其余未列入而实际发生的费用均视为已分摊在已列项目的报价内，不再另行计取</w:t>
      </w:r>
      <w:r>
        <w:rPr>
          <w:rFonts w:hint="eastAsia" w:hAnsi="宋体" w:cs="Arial"/>
          <w:color w:val="auto"/>
          <w:highlight w:val="none"/>
        </w:rPr>
        <w:t>。</w:t>
      </w:r>
    </w:p>
    <w:p>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72606E"/>
    <w:multiLevelType w:val="singleLevel"/>
    <w:tmpl w:val="5572606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A9E31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360" w:lineRule="auto"/>
      <w:jc w:val="center"/>
      <w:outlineLvl w:val="0"/>
    </w:pPr>
    <w:rPr>
      <w:rFonts w:eastAsia="黑体"/>
      <w:b/>
      <w:bCs/>
      <w:snapToGrid w:val="0"/>
      <w:kern w:val="44"/>
      <w:sz w:val="36"/>
      <w:szCs w:val="44"/>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customStyle="1" w:styleId="5">
    <w:name w:val="正文2"/>
    <w:basedOn w:val="1"/>
    <w:qFormat/>
    <w:uiPriority w:val="0"/>
    <w:pPr>
      <w:spacing w:before="156" w:line="360" w:lineRule="auto"/>
      <w:ind w:left="567" w:firstLine="510"/>
    </w:pPr>
    <w:rPr>
      <w:sz w:val="24"/>
      <w:szCs w:val="20"/>
    </w:rPr>
  </w:style>
  <w:style w:type="paragraph" w:customStyle="1" w:styleId="6">
    <w:name w:val="Char11"/>
    <w:basedOn w:val="1"/>
    <w:qFormat/>
    <w:uiPriority w:val="0"/>
    <w:rPr>
      <w:rFonts w:eastAsia="仿宋_GB2312"/>
      <w:sz w:val="28"/>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theme" Target="theme/theme1.xml"/>
  <Relationship Id="rId4" Type="http://schemas.openxmlformats.org/officeDocument/2006/relationships/customXml" Target="../customXml/item1.xml"/>
  <Relationship Id="rId5" Type="http://schemas.openxmlformats.org/officeDocument/2006/relationships/numbering" Target="numbering.xml"/>
  <Relationship Id="rId6"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Office_10.1.0.7698_F1E327BC-269C-435d-A152-05C5408002CA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2014-10-29T12:08:00Z</dcterms:created>
  <dc:creator>zxzx1111</dc:creator>
  <lastModifiedBy>@</lastModifiedBy>
  <dcterms:modified xsi:type="dcterms:W3CDTF">2019-06-19T08:21:32Z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